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12A4" w:rsidRPr="00A25C83" w:rsidRDefault="00A25C83">
      <w:r w:rsidRPr="00A25C83">
        <w:rPr>
          <w:b/>
        </w:rPr>
        <w:t>Guidelines</w:t>
      </w:r>
      <w:r w:rsidR="00B061B7" w:rsidRPr="00A25C83">
        <w:rPr>
          <w:b/>
        </w:rPr>
        <w:t xml:space="preserve"> for </w:t>
      </w:r>
      <w:r w:rsidRPr="00A25C83">
        <w:rPr>
          <w:b/>
        </w:rPr>
        <w:t xml:space="preserve">assignment of </w:t>
      </w:r>
      <w:r w:rsidR="00B061B7" w:rsidRPr="00A25C83">
        <w:rPr>
          <w:b/>
        </w:rPr>
        <w:t>ACT, AWH, OS, NC, INC</w:t>
      </w:r>
      <w:r>
        <w:rPr>
          <w:b/>
        </w:rPr>
        <w:t xml:space="preserve"> </w:t>
      </w:r>
      <w:r>
        <w:t>– for discussion</w:t>
      </w:r>
    </w:p>
    <w:p w:rsidR="00B061B7" w:rsidRDefault="00B061B7" w:rsidP="0081574B">
      <w:pPr>
        <w:pStyle w:val="ListParagraph"/>
        <w:numPr>
          <w:ilvl w:val="0"/>
          <w:numId w:val="2"/>
        </w:numPr>
      </w:pPr>
      <w:r>
        <w:t xml:space="preserve">ACT – </w:t>
      </w:r>
      <w:r w:rsidR="00896566">
        <w:t>restrict</w:t>
      </w:r>
      <w:r w:rsidR="0091689A">
        <w:t xml:space="preserve"> to</w:t>
      </w:r>
      <w:r w:rsidR="003567AC">
        <w:t xml:space="preserve"> the </w:t>
      </w:r>
      <w:r w:rsidR="0081574B">
        <w:t xml:space="preserve">case in which there is conflict between fully specified name and defining relationships </w:t>
      </w:r>
      <w:r w:rsidR="00EB349B">
        <w:t>making the concept impossible to map</w:t>
      </w:r>
    </w:p>
    <w:p w:rsidR="00B061B7" w:rsidRDefault="0081574B" w:rsidP="00B061B7">
      <w:pPr>
        <w:pStyle w:val="ListParagraph"/>
        <w:numPr>
          <w:ilvl w:val="1"/>
          <w:numId w:val="2"/>
        </w:numPr>
      </w:pPr>
      <w:r>
        <w:t>In case of an a</w:t>
      </w:r>
      <w:r w:rsidR="00B061B7">
        <w:t>mbiguous synonym</w:t>
      </w:r>
      <w:r w:rsidR="00EB349B">
        <w:t xml:space="preserve"> i.e.</w:t>
      </w:r>
      <w:r>
        <w:t xml:space="preserve"> </w:t>
      </w:r>
      <w:r w:rsidR="00B061B7">
        <w:t xml:space="preserve">meaning of </w:t>
      </w:r>
      <w:r>
        <w:t xml:space="preserve">that </w:t>
      </w:r>
      <w:r w:rsidR="00B061B7">
        <w:t>synonym is not the same as the fully specified name</w:t>
      </w:r>
      <w:r>
        <w:t xml:space="preserve"> and will point to a different ICD-10 target </w:t>
      </w:r>
    </w:p>
    <w:p w:rsidR="0081574B" w:rsidRDefault="0081574B" w:rsidP="0081574B">
      <w:pPr>
        <w:pStyle w:val="ListParagraph"/>
        <w:numPr>
          <w:ilvl w:val="2"/>
          <w:numId w:val="2"/>
        </w:numPr>
      </w:pPr>
      <w:r>
        <w:t>Proceed to map the concept according to the fully specified name</w:t>
      </w:r>
    </w:p>
    <w:p w:rsidR="0081574B" w:rsidRDefault="0081574B" w:rsidP="0081574B">
      <w:pPr>
        <w:pStyle w:val="ListParagraph"/>
        <w:numPr>
          <w:ilvl w:val="2"/>
          <w:numId w:val="2"/>
        </w:numPr>
      </w:pPr>
      <w:r>
        <w:t>Do not use the ACT flag</w:t>
      </w:r>
    </w:p>
    <w:p w:rsidR="0081574B" w:rsidRDefault="0081574B" w:rsidP="0081574B">
      <w:pPr>
        <w:pStyle w:val="ListParagraph"/>
        <w:numPr>
          <w:ilvl w:val="2"/>
          <w:numId w:val="2"/>
        </w:numPr>
      </w:pPr>
      <w:r>
        <w:t>Map lead take note of the problem and feedback to IHTSDO</w:t>
      </w:r>
    </w:p>
    <w:p w:rsidR="00C00B9C" w:rsidRDefault="0081574B" w:rsidP="00AC02F9">
      <w:pPr>
        <w:pStyle w:val="ListParagraph"/>
        <w:numPr>
          <w:ilvl w:val="2"/>
          <w:numId w:val="2"/>
        </w:numPr>
      </w:pPr>
      <w:r>
        <w:t>Note</w:t>
      </w:r>
      <w:r w:rsidR="00EB349B">
        <w:t xml:space="preserve"> that this is not necessarily a SNOMED CT </w:t>
      </w:r>
      <w:r>
        <w:t>error as</w:t>
      </w:r>
      <w:r w:rsidR="00C00B9C">
        <w:t xml:space="preserve"> SNOMED CT synonyms are generally more accommodating – based on common clinical usage rather than strict </w:t>
      </w:r>
      <w:r w:rsidR="007B237F">
        <w:t>meaning</w:t>
      </w:r>
    </w:p>
    <w:p w:rsidR="007367CF" w:rsidRDefault="0081574B" w:rsidP="007367CF">
      <w:pPr>
        <w:pStyle w:val="ListParagraph"/>
        <w:numPr>
          <w:ilvl w:val="1"/>
          <w:numId w:val="2"/>
        </w:numPr>
      </w:pPr>
      <w:r>
        <w:t>A</w:t>
      </w:r>
      <w:r w:rsidR="007367CF">
        <w:t xml:space="preserve"> SNOMED CT concept that can be mapped to more than one ICD-10 co</w:t>
      </w:r>
      <w:r>
        <w:t xml:space="preserve">de is </w:t>
      </w:r>
      <w:r w:rsidRPr="0081574B">
        <w:rPr>
          <w:b/>
        </w:rPr>
        <w:t>not</w:t>
      </w:r>
      <w:r>
        <w:t xml:space="preserve"> necessarily ambiguous, it can be because it is a very high level concept or that the concept does not</w:t>
      </w:r>
      <w:r w:rsidR="007367CF">
        <w:t xml:space="preserve"> contain the essential information needed for ICD-10</w:t>
      </w:r>
      <w:r>
        <w:t xml:space="preserve"> classification. These cases should be flagged as </w:t>
      </w:r>
      <w:r w:rsidR="007367CF">
        <w:t>NC</w:t>
      </w:r>
      <w:r>
        <w:t xml:space="preserve"> (see below)</w:t>
      </w:r>
    </w:p>
    <w:p w:rsidR="007367CF" w:rsidRDefault="007367CF" w:rsidP="007367CF">
      <w:pPr>
        <w:pStyle w:val="ListParagraph"/>
        <w:numPr>
          <w:ilvl w:val="0"/>
          <w:numId w:val="2"/>
        </w:numPr>
      </w:pPr>
      <w:r>
        <w:t>AWH</w:t>
      </w:r>
    </w:p>
    <w:p w:rsidR="007367CF" w:rsidRDefault="007367CF" w:rsidP="007367CF">
      <w:pPr>
        <w:pStyle w:val="ListParagraph"/>
        <w:numPr>
          <w:ilvl w:val="1"/>
          <w:numId w:val="2"/>
        </w:numPr>
      </w:pPr>
      <w:r>
        <w:t>Problems in ICD-10 that make it impossible to assign a target – e.g. conflict</w:t>
      </w:r>
      <w:r w:rsidR="00EB349B">
        <w:t>s</w:t>
      </w:r>
      <w:r>
        <w:t xml:space="preserve"> within</w:t>
      </w:r>
      <w:r w:rsidR="007B237F">
        <w:t>,</w:t>
      </w:r>
      <w:r>
        <w:t xml:space="preserve"> or between</w:t>
      </w:r>
      <w:r w:rsidR="007B237F">
        <w:t>,</w:t>
      </w:r>
      <w:r>
        <w:t xml:space="preserve"> ind</w:t>
      </w:r>
      <w:r w:rsidR="007B237F">
        <w:t>ex and tabular list</w:t>
      </w:r>
      <w:r w:rsidR="00896566">
        <w:t>s;</w:t>
      </w:r>
      <w:r w:rsidR="007B237F">
        <w:t xml:space="preserve"> conflict</w:t>
      </w:r>
      <w:r>
        <w:t>ing rules</w:t>
      </w:r>
      <w:r w:rsidR="00571435">
        <w:t>/conventions</w:t>
      </w:r>
    </w:p>
    <w:p w:rsidR="00571435" w:rsidRDefault="00571435" w:rsidP="007367CF">
      <w:pPr>
        <w:pStyle w:val="ListParagraph"/>
        <w:numPr>
          <w:ilvl w:val="1"/>
          <w:numId w:val="2"/>
        </w:numPr>
      </w:pPr>
      <w:r>
        <w:t>Mapping not possible, flag for WHO review</w:t>
      </w:r>
    </w:p>
    <w:p w:rsidR="007367CF" w:rsidRDefault="007367CF" w:rsidP="007367CF">
      <w:pPr>
        <w:pStyle w:val="ListParagraph"/>
        <w:numPr>
          <w:ilvl w:val="0"/>
          <w:numId w:val="2"/>
        </w:numPr>
      </w:pPr>
      <w:r>
        <w:t>OS - things not within the scope of ICD-10</w:t>
      </w:r>
      <w:r w:rsidR="00571435">
        <w:t xml:space="preserve">, </w:t>
      </w:r>
      <w:r w:rsidR="0091689A">
        <w:t>restrict to the following</w:t>
      </w:r>
      <w:r>
        <w:t xml:space="preserve"> cases</w:t>
      </w:r>
    </w:p>
    <w:p w:rsidR="007367CF" w:rsidRDefault="007367CF" w:rsidP="007367CF">
      <w:pPr>
        <w:pStyle w:val="ListParagraph"/>
        <w:numPr>
          <w:ilvl w:val="1"/>
          <w:numId w:val="2"/>
        </w:numPr>
      </w:pPr>
      <w:r>
        <w:t>Normal findings</w:t>
      </w:r>
    </w:p>
    <w:p w:rsidR="007367CF" w:rsidRDefault="007367CF" w:rsidP="007367CF">
      <w:pPr>
        <w:pStyle w:val="ListParagraph"/>
        <w:numPr>
          <w:ilvl w:val="1"/>
          <w:numId w:val="2"/>
        </w:numPr>
      </w:pPr>
      <w:r>
        <w:t>Suspected/</w:t>
      </w:r>
      <w:r w:rsidR="007B237F">
        <w:t>unconfirmed</w:t>
      </w:r>
      <w:r>
        <w:t xml:space="preserve"> diagnosis</w:t>
      </w:r>
      <w:r w:rsidR="007B237F">
        <w:t>/findings</w:t>
      </w:r>
    </w:p>
    <w:p w:rsidR="007367CF" w:rsidRDefault="007367CF" w:rsidP="007367CF">
      <w:pPr>
        <w:pStyle w:val="ListParagraph"/>
        <w:numPr>
          <w:ilvl w:val="1"/>
          <w:numId w:val="2"/>
        </w:numPr>
      </w:pPr>
      <w:r>
        <w:t xml:space="preserve">Grouper concepts that do not </w:t>
      </w:r>
      <w:r w:rsidR="007B237F">
        <w:t>convey any clinical information</w:t>
      </w:r>
    </w:p>
    <w:p w:rsidR="007367CF" w:rsidRDefault="007367CF" w:rsidP="007367CF">
      <w:pPr>
        <w:pStyle w:val="ListParagraph"/>
        <w:numPr>
          <w:ilvl w:val="0"/>
          <w:numId w:val="2"/>
        </w:numPr>
      </w:pPr>
      <w:r>
        <w:t>NC –</w:t>
      </w:r>
      <w:r w:rsidR="00AC02F9">
        <w:t xml:space="preserve"> </w:t>
      </w:r>
      <w:r w:rsidR="00615CFD">
        <w:t xml:space="preserve">all </w:t>
      </w:r>
      <w:r w:rsidR="0081574B">
        <w:t xml:space="preserve">other </w:t>
      </w:r>
      <w:r w:rsidR="00615CFD">
        <w:t xml:space="preserve">cases in which </w:t>
      </w:r>
      <w:r>
        <w:t>valid</w:t>
      </w:r>
      <w:r w:rsidR="00571435">
        <w:t xml:space="preserve"> </w:t>
      </w:r>
      <w:r w:rsidR="00AC02F9">
        <w:t>(</w:t>
      </w:r>
      <w:r w:rsidR="00571435">
        <w:t>or useful</w:t>
      </w:r>
      <w:r w:rsidR="00AC02F9">
        <w:t>)</w:t>
      </w:r>
      <w:r>
        <w:t xml:space="preserve"> target code</w:t>
      </w:r>
      <w:r w:rsidR="00AC02F9">
        <w:t>(s)</w:t>
      </w:r>
      <w:r>
        <w:t xml:space="preserve"> cannot be assigned</w:t>
      </w:r>
      <w:r w:rsidR="0081574B">
        <w:t>. Common reasons:</w:t>
      </w:r>
    </w:p>
    <w:p w:rsidR="007367CF" w:rsidRDefault="007367CF" w:rsidP="007367CF">
      <w:pPr>
        <w:pStyle w:val="ListParagraph"/>
        <w:numPr>
          <w:ilvl w:val="1"/>
          <w:numId w:val="2"/>
        </w:numPr>
      </w:pPr>
      <w:r>
        <w:t xml:space="preserve">Missing essential information needed </w:t>
      </w:r>
      <w:r w:rsidR="00DC02E6">
        <w:t>for</w:t>
      </w:r>
      <w:r>
        <w:t xml:space="preserve"> ICD-10</w:t>
      </w:r>
      <w:r w:rsidR="00DC02E6">
        <w:t xml:space="preserve"> coding</w:t>
      </w:r>
      <w:r>
        <w:t xml:space="preserve"> e.g. infertility, partial seizure</w:t>
      </w:r>
    </w:p>
    <w:p w:rsidR="007367CF" w:rsidRDefault="007367CF" w:rsidP="007367CF">
      <w:pPr>
        <w:pStyle w:val="ListParagraph"/>
        <w:numPr>
          <w:ilvl w:val="1"/>
          <w:numId w:val="2"/>
        </w:numPr>
      </w:pPr>
      <w:r>
        <w:t xml:space="preserve">Very high </w:t>
      </w:r>
      <w:r w:rsidR="00571435">
        <w:t>level concepts which encompass</w:t>
      </w:r>
      <w:r>
        <w:t xml:space="preserve"> many ( &gt; 2 ) ICD-10 codes </w:t>
      </w:r>
      <w:r w:rsidR="00AC02F9">
        <w:t>(</w:t>
      </w:r>
      <w:r w:rsidR="00896566">
        <w:t xml:space="preserve">note: </w:t>
      </w:r>
      <w:r>
        <w:t xml:space="preserve">these </w:t>
      </w:r>
      <w:r w:rsidR="00AC02F9">
        <w:t>concepts typically have</w:t>
      </w:r>
      <w:r>
        <w:t xml:space="preserve"> descendants which will have valid maps when </w:t>
      </w:r>
      <w:r w:rsidR="00EB349B">
        <w:t>the whole</w:t>
      </w:r>
      <w:r>
        <w:t xml:space="preserve"> SNOMED CT </w:t>
      </w:r>
      <w:r w:rsidR="00EB349B">
        <w:t>map is complete</w:t>
      </w:r>
      <w:r w:rsidR="00571435">
        <w:t xml:space="preserve">, so marking them as NC </w:t>
      </w:r>
      <w:r w:rsidR="00994B3D">
        <w:t>will not make the Map less useful</w:t>
      </w:r>
      <w:r w:rsidR="00AC02F9">
        <w:t>)</w:t>
      </w:r>
    </w:p>
    <w:p w:rsidR="007367CF" w:rsidRDefault="007367CF" w:rsidP="007367CF">
      <w:pPr>
        <w:pStyle w:val="ListParagraph"/>
        <w:numPr>
          <w:ilvl w:val="0"/>
          <w:numId w:val="2"/>
        </w:numPr>
      </w:pPr>
      <w:r>
        <w:t>INC – incomplete modeling in SNOMED CT</w:t>
      </w:r>
    </w:p>
    <w:p w:rsidR="007367CF" w:rsidRDefault="007367CF" w:rsidP="007367CF">
      <w:pPr>
        <w:pStyle w:val="ListParagraph"/>
        <w:numPr>
          <w:ilvl w:val="1"/>
          <w:numId w:val="2"/>
        </w:numPr>
      </w:pPr>
      <w:r>
        <w:t xml:space="preserve">Missing </w:t>
      </w:r>
      <w:r w:rsidR="00EB349B">
        <w:t xml:space="preserve">important </w:t>
      </w:r>
      <w:r>
        <w:t xml:space="preserve">siblings, descendants or is_a relations to clinically relevant </w:t>
      </w:r>
      <w:r w:rsidR="00AA7E17">
        <w:t>parent</w:t>
      </w:r>
      <w:r>
        <w:t>s</w:t>
      </w:r>
    </w:p>
    <w:p w:rsidR="00496B6F" w:rsidRDefault="00496B6F" w:rsidP="007367CF">
      <w:pPr>
        <w:pStyle w:val="ListParagraph"/>
        <w:numPr>
          <w:ilvl w:val="1"/>
          <w:numId w:val="2"/>
        </w:numPr>
      </w:pPr>
      <w:r>
        <w:t>Mark as INC if incomplete modeling makes mapping impossible or not useful</w:t>
      </w:r>
    </w:p>
    <w:p w:rsidR="007367CF" w:rsidRDefault="00496B6F" w:rsidP="007367CF">
      <w:pPr>
        <w:pStyle w:val="ListParagraph"/>
        <w:numPr>
          <w:ilvl w:val="1"/>
          <w:numId w:val="2"/>
        </w:numPr>
      </w:pPr>
      <w:r>
        <w:t>Otherwise, complete mapping and do not use INC flag. Map lead will flag the concept for IHTSDO feedback</w:t>
      </w:r>
    </w:p>
    <w:p w:rsidR="00B061B7" w:rsidRDefault="00B061B7" w:rsidP="00B061B7">
      <w:pPr>
        <w:pStyle w:val="ListParagraph"/>
        <w:ind w:left="2160"/>
      </w:pPr>
    </w:p>
    <w:p w:rsidR="00B061B7" w:rsidRDefault="00B061B7"/>
    <w:sectPr w:rsidR="00B061B7" w:rsidSect="001012A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E01D9D"/>
    <w:multiLevelType w:val="hybridMultilevel"/>
    <w:tmpl w:val="7A7EAD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2E7C08"/>
    <w:multiLevelType w:val="hybridMultilevel"/>
    <w:tmpl w:val="C2DCEF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defaultTabStop w:val="720"/>
  <w:characterSpacingControl w:val="doNotCompress"/>
  <w:compat/>
  <w:rsids>
    <w:rsidRoot w:val="00B061B7"/>
    <w:rsid w:val="001012A4"/>
    <w:rsid w:val="00156817"/>
    <w:rsid w:val="003567AC"/>
    <w:rsid w:val="00496B6F"/>
    <w:rsid w:val="00571435"/>
    <w:rsid w:val="00615CFD"/>
    <w:rsid w:val="006206D1"/>
    <w:rsid w:val="00656DAE"/>
    <w:rsid w:val="00697178"/>
    <w:rsid w:val="007367CF"/>
    <w:rsid w:val="007B237F"/>
    <w:rsid w:val="0081574B"/>
    <w:rsid w:val="00896566"/>
    <w:rsid w:val="0091689A"/>
    <w:rsid w:val="00994B3D"/>
    <w:rsid w:val="00A25C83"/>
    <w:rsid w:val="00AA7E17"/>
    <w:rsid w:val="00AC02F9"/>
    <w:rsid w:val="00AD38A8"/>
    <w:rsid w:val="00B061B7"/>
    <w:rsid w:val="00C00B9C"/>
    <w:rsid w:val="00DC02E6"/>
    <w:rsid w:val="00E00D32"/>
    <w:rsid w:val="00E57C37"/>
    <w:rsid w:val="00EB34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12A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061B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313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kfung</dc:creator>
  <cp:lastModifiedBy>kfung</cp:lastModifiedBy>
  <cp:revision>3</cp:revision>
  <dcterms:created xsi:type="dcterms:W3CDTF">2011-09-23T14:51:00Z</dcterms:created>
  <dcterms:modified xsi:type="dcterms:W3CDTF">2011-09-26T18:02:00Z</dcterms:modified>
</cp:coreProperties>
</file>